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小标宋简体" w:cs="Times New Roman"/>
          <w:b/>
          <w:color w:val="000000"/>
          <w:kern w:val="0"/>
          <w:sz w:val="44"/>
          <w:szCs w:val="44"/>
          <w:lang w:val="en-US" w:eastAsia="zh-CN"/>
        </w:rPr>
        <w:t>货币资金内部控制制度</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第一章 总则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了加强对本会货币资金的内部控制和管理，保证货币资金的安全，根据《中华人民共和国会计法》、《内部会计控制规范——基本规范》、《内部会计控制规范——货币资金（试行）》和《民间非营利组织会计制度》等法律法规和规章，制定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本制度所称货币资金是指本会所拥有的现金、银行存款和其他货币资金。</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本会负责人对本会货币资金内部控制的建立健全和有效实施以及货币资金的安全完整负责。</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办理货币资金业务的人员应当具备良好的职业道德。忠于职守，廉洁奉公，遵纪守法，客观公正，不断提高会计业务素质和职业道德水平。</w:t>
      </w:r>
    </w:p>
    <w:p>
      <w:pPr>
        <w:numPr>
          <w:ilvl w:val="0"/>
          <w:numId w:val="0"/>
        </w:num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第二章 岗位分工及授权批准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建立货币资金业务岗位责任制。设会计岗位和出纳岗位，配备合格人员担任会计和出纳工作，做到会计、出纳相分离、制约和监督，并根据本会具体情况适时进行岗位轮换。</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办理货币资金业务实行会计、出纳分工负责制，严禁由一人办理货币资金业务的全过程。</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会计办理货币资金业务的职责权限是: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（一）遵守《会计法》等有关法律法规的规定，严格执行会计制度和内部控制。</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（二）做好会计核算和复核、稽核工作。</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（三）负责收入、支出、费用、债权债务账目的登记。</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（四）负责发票（收据）的登记、领购、填制、保管、回收、缴销。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（五）负责保管银行存款预留印鉴卡片、定期存款凭据及会计凭证、账簿和财务报告等会计档案资料。</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（六）加强会计监督，防止违法违纪行为发生。</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出纳办理货币资金业务的职责权限是: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（一）遵守《会计法》等有关法律法规的规定，严格执行出纳制度和内控制度。</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（二）做好现金库存管理、银行账户核对和编制银行存款余额调节表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（三）负责办理银行存款、取款、结算和财务报销，按规定登记现金和银行存款日记账。</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（四）负责银行结算票据的登记、领购、填制、保管、回收、缴销。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（五）负责保管本会财务专用章。</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（六）拒绝办理违反财务规定的各种结算、报销。</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建立严格的货币资金使用业务授权批准制度。理事长为本会货币资金使用业务授权审批人。秘书长受理事长委托行使相应审批权。审批人在授权范围内进行审批，不得超越审批权限。</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第九条 </w:t>
      </w:r>
      <w:r>
        <w:rPr>
          <w:rFonts w:hint="eastAsia" w:ascii="Times New Roman" w:hAnsi="Times New Roman" w:eastAsia="方正仿宋简体" w:cs="Times New Roman"/>
          <w:b w:val="0"/>
          <w:bCs/>
          <w:color w:val="000000"/>
          <w:kern w:val="0"/>
          <w:sz w:val="32"/>
          <w:szCs w:val="32"/>
          <w:lang w:val="en-US" w:eastAsia="zh-CN"/>
        </w:rPr>
        <w:t>年度经费收支预算经理事会通过后，其货币资金使用按以下权限审批：5万元以上，由理事长审批；5万元以下由副会长兼秘书长审批。</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年度经费收支预算之外使用货币资金，由秘书长审核，理事长审批。</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货币资金对外投资、自营短期投资股票、购买有价证券等投资增值事项，经由办公室每年年初提出年度投资组合方案报理事会审查批准，具体项目实施时，报理事长声定后办理。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秘书长、财务主管要随时检查货币资金的安全情况，定期向理事长报告。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委托投资的资金管理，凡签订了委托投资协议（合同）的，按协议（合同）规定审批划转资金。在委托投资协议期间，要按协议的要求对委托投资的资金进行跟踪监督，保证其投资资金的安全。</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出纳和会计为货币资金业务经办人。经办人在职责范围内，按照审批人的批准意见办理货币资金业务。对于审批人超越授权范围审批的货币资金业务，经办人员有权拒绝办理，并及时向基金会的监事或上级报告。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办理货币资金支付业务的一般程序为: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（一）支付申请。本会有关部门或个人办理用款时，应提前向审批人提交货币资金支付申请，注明款项的用途、金额、预算、支付方式等内容，有相关合同、协议、文件或证明材料的要一并附上。</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（二）支付审批。审批人根据其职责、权限和相应程序对支付申请进行审批。对不符合规定的货币资金支付申请，审批人应当拒绝批准。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支付复核。会计主管对批准后的货币资金支付申请进行复核，复核货币资金支付申请的批准范围、权限、程序是否正确，手续及相关单证是否齐备，金额计算是否准确，支付方试、支付单位是否妥当等。复核无误后，交由出纳办理支付手续。</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（四）办理支付。出纳应当根据复核无误的支付申请，按规定办理货币资金支付手续，及时登记现金和银行存款日记账。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审批人按本制度规定权限签署的文书已明确规定了货币资金使用对象和金额的，经副会长兼秘书长核准，凭批准文书办理款项拨付。</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未经授权的人员不得办理货币资金业务或直接接触货币资金。对于贪污、侵占、挪用货币资金等行为，按照有关法律法规和制度严肃处理，构成犯罪的，移交司法机关追究法律贵任。</w:t>
      </w:r>
    </w:p>
    <w:p>
      <w:pPr>
        <w:jc w:val="center"/>
        <w:rPr>
          <w:rFonts w:hint="eastAsia" w:ascii="Times New Roman" w:hAnsi="Times New Roman" w:eastAsia="方正黑体简体" w:cs="Times New Roman"/>
          <w:color w:val="000000"/>
          <w:kern w:val="0"/>
          <w:sz w:val="32"/>
          <w:szCs w:val="32"/>
          <w:lang w:val="en-US" w:eastAsia="zh-CN"/>
        </w:rPr>
      </w:pPr>
      <w:r>
        <w:rPr>
          <w:rFonts w:hint="eastAsia" w:ascii="Times New Roman" w:hAnsi="Times New Roman" w:eastAsia="方正黑体简体" w:cs="Times New Roman"/>
          <w:color w:val="000000"/>
          <w:kern w:val="0"/>
          <w:sz w:val="32"/>
          <w:szCs w:val="32"/>
          <w:lang w:val="en-US" w:eastAsia="zh-CN"/>
        </w:rPr>
        <w:t>第三章 现金和银行存款管理与监控</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严格执行现金库存限额管理制度，库存现金不得超过开户银行核定的库存现金限额，超过库存限额的现金应及时存入银行。</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本会使用现金的范围是: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（一）开展公益活动必须的现金支出，包括支付给个人的各种奖金、资助金、慰问金等。</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（二）出差人员必须随身携带的差旅费和参加会议、培训等按规定应缴纳的费用。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（三）个人劳动报酬，包括人员津贴、补贴、加班费用、工作奖励及其他专门工作报酬。</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（四）筹资活动中各种招待应酬支付的费用。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（五）结算起点以下的零星支出。</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（六）得到理事长和秘书长同意确实需要现金支付的其他支出。</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不属于现金开支范围的业务应当通过银行办理转账结算。</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现金收入应当及时存入银行，不得用于直接支付本会自身的支出。因特殊情况需借支现金的，应事先报经开户银行审查批准。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解除款项必须执行严格的授权批准程序，严禁擅自挪用、借出货币资金。</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取得的货币资金收入必须及时入账，不得私设“小金库”，不得账外设账，严禁收款不入账。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第二十一条</w:t>
      </w:r>
      <w:r>
        <w:rPr>
          <w:rFonts w:hint="eastAsia" w:ascii="Times New Roman" w:hAnsi="Times New Roman" w:eastAsia="方正仿宋简体" w:cs="Times New Roman"/>
          <w:b w:val="0"/>
          <w:bCs/>
          <w:color w:val="000000"/>
          <w:kern w:val="0"/>
          <w:sz w:val="32"/>
          <w:szCs w:val="32"/>
          <w:lang w:val="en-US" w:eastAsia="zh-CN"/>
        </w:rPr>
        <w:t xml:space="preserve"> 货币资金在开户银行办理定期储存、购买债券，须有会计人员和出纳人员同时到银行营业柜台办理相关手续。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val="0"/>
          <w:bCs/>
          <w:color w:val="000000"/>
          <w:kern w:val="0"/>
          <w:sz w:val="32"/>
          <w:szCs w:val="32"/>
          <w:lang w:val="en-US" w:eastAsia="zh-CN"/>
        </w:rPr>
        <w:t xml:space="preserve"> 严格按照《支付结算办法》等国家有关规定，加强银行账户的管理，严格按照规定开立账户，办理存款、取款和结算。</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定期检查、清理银行账户的开立及使用请况，发现问题，及时处理。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严格执行银行结箅凭证填制、传递及保管的规定，并加强各环节的管理与控制。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第二十三条</w:t>
      </w:r>
      <w:r>
        <w:rPr>
          <w:rFonts w:hint="eastAsia" w:ascii="Times New Roman" w:hAnsi="Times New Roman" w:eastAsia="方正仿宋简体" w:cs="Times New Roman"/>
          <w:b w:val="0"/>
          <w:bCs/>
          <w:color w:val="000000"/>
          <w:kern w:val="0"/>
          <w:sz w:val="32"/>
          <w:szCs w:val="32"/>
          <w:lang w:val="en-US" w:eastAsia="zh-CN"/>
        </w:rPr>
        <w:t xml:space="preserve"> 严格遵守银行结算纪律，不准签发没有资金保证的票据或远期支票，套取银行信用：不准签发、取得和转让没有真实交易和债权债务的票据，套取银行和他人资金；不准无理拒绝付款，任意占用他人资金；不准违反规定开立和使用银行账户。</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第二十四条</w:t>
      </w:r>
      <w:r>
        <w:rPr>
          <w:rFonts w:hint="eastAsia" w:ascii="Times New Roman" w:hAnsi="Times New Roman" w:eastAsia="方正仿宋简体" w:cs="Times New Roman"/>
          <w:b w:val="0"/>
          <w:bCs/>
          <w:color w:val="000000"/>
          <w:kern w:val="0"/>
          <w:sz w:val="32"/>
          <w:szCs w:val="32"/>
          <w:lang w:val="en-US" w:eastAsia="zh-CN"/>
        </w:rPr>
        <w:t xml:space="preserve"> 出纳应定期核对银行账，每月至少核对一次，并编制银行存款余额调节表，及时报秘书长，使银行存款账面余额与银行对账单调节相符。如调节不符，应查明原因，及时处理。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第二十五条</w:t>
      </w:r>
      <w:r>
        <w:rPr>
          <w:rFonts w:hint="eastAsia" w:ascii="Times New Roman" w:hAnsi="Times New Roman" w:eastAsia="方正仿宋简体" w:cs="Times New Roman"/>
          <w:b w:val="0"/>
          <w:bCs/>
          <w:color w:val="000000"/>
          <w:kern w:val="0"/>
          <w:sz w:val="32"/>
          <w:szCs w:val="32"/>
          <w:lang w:val="en-US" w:eastAsia="zh-CN"/>
        </w:rPr>
        <w:t xml:space="preserve"> 出纳应定期和不定期地进行现金盘点，确保现金账面余额与实际库存相符。发现不符，及时查明原因，报领导处理。银行存款应实行零报告制度，办公室应定期向秘书长、理事长报告货币资金的情况。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黑体简体" w:cs="Times New Roman"/>
          <w:b w:val="0"/>
          <w:bCs w:val="0"/>
          <w:color w:val="000000"/>
          <w:kern w:val="0"/>
          <w:sz w:val="32"/>
          <w:szCs w:val="32"/>
          <w:lang w:val="en-US" w:eastAsia="zh-CN"/>
        </w:rPr>
      </w:pPr>
      <w:r>
        <w:rPr>
          <w:rFonts w:hint="eastAsia" w:ascii="Times New Roman" w:hAnsi="Times New Roman" w:eastAsia="方正黑体简体" w:cs="Times New Roman"/>
          <w:b w:val="0"/>
          <w:bCs w:val="0"/>
          <w:color w:val="000000"/>
          <w:kern w:val="0"/>
          <w:sz w:val="32"/>
          <w:szCs w:val="32"/>
          <w:lang w:val="en-US" w:eastAsia="zh-CN"/>
        </w:rPr>
        <w:t>第四章 票据及有关印章的管理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第二十六条</w:t>
      </w:r>
      <w:r>
        <w:rPr>
          <w:rFonts w:hint="eastAsia" w:ascii="Times New Roman" w:hAnsi="Times New Roman" w:eastAsia="方正仿宋简体" w:cs="Times New Roman"/>
          <w:b w:val="0"/>
          <w:bCs/>
          <w:color w:val="000000"/>
          <w:kern w:val="0"/>
          <w:sz w:val="32"/>
          <w:szCs w:val="32"/>
          <w:lang w:val="en-US" w:eastAsia="zh-CN"/>
        </w:rPr>
        <w:t xml:space="preserve"> 切实加强货币资金相关票据的管理: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（一）银行结算票据由出纳负责，按相关规定登记、领购、填制、保管、回收、缴销。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（二）专设银行结算票据登记簿，由出纳做好登记记录严防空白票据遗失和被盗用。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（三）支票领用须经秘书长批准后办理。</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（四）对填写错误的银行支票，必须加盖“作废”戳记与存根一并保存并按银行有关规定缴销。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（五）发票（收据）由会计负责，按相关规定登记、领购、填制、保管、回收、缴销。</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（六）专设发票（收据）登记簿，由会计做好登记记录，严防空白发票（收据）遗失和被盗用。</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（七）发票（收据）填写错误，应将发票（收据）一式几联同时作废保存，以备审查。</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第二十七条</w:t>
      </w:r>
      <w:r>
        <w:rPr>
          <w:rFonts w:hint="eastAsia" w:ascii="Times New Roman" w:hAnsi="Times New Roman" w:eastAsia="方正仿宋简体" w:cs="Times New Roman"/>
          <w:b w:val="0"/>
          <w:bCs/>
          <w:color w:val="000000"/>
          <w:kern w:val="0"/>
          <w:sz w:val="32"/>
          <w:szCs w:val="32"/>
          <w:lang w:val="en-US" w:eastAsia="zh-CN"/>
        </w:rPr>
        <w:t xml:space="preserve"> 加强银行预留印鉴的管理。财务专用章由出纳保管，个人名章由本人或其授权人员保管。严禁一人保管支付款项所需的全部印章。</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按规定需要有关负责人签字或盖章的经济业务，必须严格履行签字或盖章手续。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黑体简体" w:cs="Times New Roman"/>
          <w:b w:val="0"/>
          <w:bCs w:val="0"/>
          <w:color w:val="000000"/>
          <w:kern w:val="0"/>
          <w:sz w:val="32"/>
          <w:szCs w:val="32"/>
          <w:lang w:val="en-US" w:eastAsia="zh-CN"/>
        </w:rPr>
      </w:pPr>
      <w:r>
        <w:rPr>
          <w:rFonts w:hint="eastAsia" w:ascii="Times New Roman" w:hAnsi="Times New Roman" w:eastAsia="方正黑体简体" w:cs="Times New Roman"/>
          <w:b w:val="0"/>
          <w:bCs w:val="0"/>
          <w:color w:val="000000"/>
          <w:kern w:val="0"/>
          <w:sz w:val="32"/>
          <w:szCs w:val="32"/>
          <w:lang w:val="en-US" w:eastAsia="zh-CN"/>
        </w:rPr>
        <w:t>第五章 监督检查</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第二十八条</w:t>
      </w:r>
      <w:r>
        <w:rPr>
          <w:rFonts w:hint="eastAsia" w:ascii="Times New Roman" w:hAnsi="Times New Roman" w:eastAsia="方正仿宋简体" w:cs="Times New Roman"/>
          <w:b w:val="0"/>
          <w:bCs/>
          <w:color w:val="000000"/>
          <w:kern w:val="0"/>
          <w:sz w:val="32"/>
          <w:szCs w:val="32"/>
          <w:lang w:val="en-US" w:eastAsia="zh-CN"/>
        </w:rPr>
        <w:t xml:space="preserve"> 建立对货币资金业务的监备检查制度，由监事和理事会，理事长、秘书长、办公室主任根据职责权限，定期和不定期进行检查。</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第二十九条</w:t>
      </w:r>
      <w:r>
        <w:rPr>
          <w:rFonts w:hint="eastAsia" w:ascii="Times New Roman" w:hAnsi="Times New Roman" w:eastAsia="方正仿宋简体" w:cs="Times New Roman"/>
          <w:b w:val="0"/>
          <w:bCs/>
          <w:color w:val="000000"/>
          <w:kern w:val="0"/>
          <w:sz w:val="32"/>
          <w:szCs w:val="32"/>
          <w:lang w:val="en-US" w:eastAsia="zh-CN"/>
        </w:rPr>
        <w:t xml:space="preserve"> 货币资金监督检查的内容主要包括: </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（一）货币资金业务相关岗位及人员的设置情况。重点检查是否存在货币资金业务不相容职务混岗的现象。</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（二）货币资金授权批准制度的执行情况。重点检企货币资金支出的授权批准手续是否健全，是否存在越权审批行为。</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（三）支付款项印章的保管情况。重点检查是否存在办理付款业务所需的全部印章交由一人过程中发现的货币资金内部控制中的薄弱环节，要及时采取措施，加以纠正和完善。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黑体简体" w:cs="Times New Roman"/>
          <w:b w:val="0"/>
          <w:bCs w:val="0"/>
          <w:color w:val="000000"/>
          <w:kern w:val="0"/>
          <w:sz w:val="32"/>
          <w:szCs w:val="32"/>
          <w:lang w:val="en-US" w:eastAsia="zh-CN"/>
        </w:rPr>
      </w:pPr>
      <w:r>
        <w:rPr>
          <w:rFonts w:hint="eastAsia" w:ascii="Times New Roman" w:hAnsi="Times New Roman" w:eastAsia="方正黑体简体" w:cs="Times New Roman"/>
          <w:b w:val="0"/>
          <w:bCs w:val="0"/>
          <w:color w:val="000000"/>
          <w:kern w:val="0"/>
          <w:sz w:val="32"/>
          <w:szCs w:val="32"/>
          <w:lang w:val="en-US" w:eastAsia="zh-CN"/>
        </w:rPr>
        <w:t>第六章附则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第三十条</w:t>
      </w:r>
      <w:r>
        <w:rPr>
          <w:rFonts w:hint="eastAsia" w:ascii="Times New Roman" w:hAnsi="Times New Roman" w:eastAsia="方正仿宋简体" w:cs="Times New Roman"/>
          <w:b w:val="0"/>
          <w:bCs/>
          <w:color w:val="000000"/>
          <w:kern w:val="0"/>
          <w:sz w:val="32"/>
          <w:szCs w:val="32"/>
          <w:lang w:val="en-US" w:eastAsia="zh-CN"/>
        </w:rPr>
        <w:t xml:space="preserve"> 本制度由本会秘书处负责解释。</w:t>
      </w:r>
      <w:bookmarkStart w:id="0" w:name="_GoBack"/>
      <w:bookmarkEnd w:id="0"/>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第三十一条</w:t>
      </w:r>
      <w:r>
        <w:rPr>
          <w:rFonts w:hint="eastAsia" w:ascii="Times New Roman" w:hAnsi="Times New Roman" w:eastAsia="方正仿宋简体" w:cs="Times New Roman"/>
          <w:b w:val="0"/>
          <w:bCs/>
          <w:color w:val="000000"/>
          <w:kern w:val="0"/>
          <w:sz w:val="32"/>
          <w:szCs w:val="32"/>
          <w:lang w:val="en-US" w:eastAsia="zh-CN"/>
        </w:rPr>
        <w:t xml:space="preserve"> 本制度自本会理事会批准之日起施行。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C784490"/>
    <w:rsid w:val="1FD46237"/>
    <w:rsid w:val="2B3B360F"/>
    <w:rsid w:val="33147AB5"/>
    <w:rsid w:val="352F71E2"/>
    <w:rsid w:val="37630C1B"/>
    <w:rsid w:val="469D5322"/>
    <w:rsid w:val="5C3123CD"/>
    <w:rsid w:val="5F3A2DF4"/>
    <w:rsid w:val="67D61DB3"/>
    <w:rsid w:val="6D0A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3331</Words>
  <Characters>3332</Characters>
  <Lines>0</Lines>
  <Paragraphs>0</Paragraphs>
  <TotalTime>10</TotalTime>
  <ScaleCrop>false</ScaleCrop>
  <LinksUpToDate>false</LinksUpToDate>
  <CharactersWithSpaces>3370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2023-07-03T05:51:00Z</dcterms:created>
  <dc:creator>HP</dc:creator>
  <cp:lastModifiedBy>魏静静</cp:lastModifiedBy>
  <cp:lastPrinted>2023-10-21T07:25:11Z</cp:lastPrinted>
  <dcterms:modified xsi:type="dcterms:W3CDTF">2023-10-21T07:25:20Z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1FBB98A34E324FB9A497B3745F94DF6B_12</vt:lpwstr>
  </property>
</Properties>
</file>