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/>
        </w:rPr>
        <w:t>理事会会议制度</w:t>
      </w:r>
      <w:bookmarkStart w:id="0" w:name="_GoBack"/>
      <w:bookmarkEnd w:id="0"/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为了切实做好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的各项工作，坚持理事会的议事规则，按照国家民政部、省民政厅的有关文件精神和《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四川省乐山师范学院教育发展基金会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章程》的有关规定，特制定本制度。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本基金会理事会由全体理事组成。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第二条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理事会是本基金会的决策机构。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理事会行使下列职权：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（一）制定、修改章程；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（二）选举、罢免理事长、副理事长、秘书长；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（三）决定重大业务活动计划，包括资金的募集、管理和使用计划；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（四）年度收支预算及决算审定；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（五）制定内部管理制度；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（六）决定设立办事机构、分支机构、代表机构；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（七）决定由秘书长提名的副秘书长和各机构主要负责人的</w:t>
      </w:r>
    </w:p>
    <w:p>
      <w:pPr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聘任；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（八）听取、审议秘书长的工作报告，检查秘书长的工作；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（九）决定基金会的分立、合并或终止；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（十）决定其他重大事项。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理事会每年召开至少2次会议。理事会会议由理事长负责召集和主持。有1/3理事提议，必须召开理事会会议。如理事长不能召集，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可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授权一名副理事长主持。召开理事会会议，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基金会秘书处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需提前5日通知全体理事、监事。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理事会会议须有2/3以上理事出席方能召开；理事会决议须经出席理事过半数通过方为有效。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下列重要事项的决议，须经出席理事表决，2/3以上通过方为有效：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（一）章程的修改；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（二）选举或者罢免理事长、副理事长、秘书长；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（三）章程规定的重大资助、投资活动；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（四）基金会的分立、合并；</w:t>
      </w: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（五）其他重大事项。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第六条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监事列席理事会会议，有权向理事会提出质询和建议。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理事会会议应当制作会议记录。形成决议的，应当当场制作会议纪要，并由出席理事审阅、签名。 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理事会会议应当由基金会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秘书处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按有关要求做好会议记录，并负责会议原始记录的妥善保管与归档。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第九条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理事会成员必须按时参加会议，不得缺席。若因故不能参加会议，应提前向理事长请假。</w:t>
      </w:r>
    </w:p>
    <w:p>
      <w:pPr>
        <w:ind w:firstLine="643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凡理事会形成的决议和意见，必须认真贯彻执行，不得随意变更。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第十一条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本制度由基金会秘书处负责解释。 </w:t>
      </w:r>
    </w:p>
    <w:p>
      <w:pPr>
        <w:ind w:firstLine="643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第十二条</w:t>
      </w:r>
      <w:r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  本制度自基金会第一届理事会第二次会议通过之日起执行。</w:t>
      </w:r>
    </w:p>
    <w:p>
      <w:pPr>
        <w:ind w:firstLine="640" w:firstLineChars="200"/>
        <w:jc w:val="left"/>
        <w:rPr>
          <w:rFonts w:hint="eastAsia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简体" w:cs="Times New Roman"/>
          <w:b w:val="0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VmM2E0Nzk4Zjc0NDFmOWRiY2VhM2Q1YTRiNDAifQ=="/>
  </w:docVars>
  <w:rsids>
    <w:rsidRoot w:val="540C3323"/>
    <w:rsid w:val="00DA0BD0"/>
    <w:rsid w:val="0DF23C33"/>
    <w:rsid w:val="171E0522"/>
    <w:rsid w:val="2D5F3F58"/>
    <w:rsid w:val="325773F1"/>
    <w:rsid w:val="3BA30B62"/>
    <w:rsid w:val="4B8D55D8"/>
    <w:rsid w:val="540C3323"/>
    <w:rsid w:val="55BB211E"/>
    <w:rsid w:val="7D5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46464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color w:val="646464"/>
      <w:sz w:val="18"/>
      <w:szCs w:val="18"/>
      <w:u w:val="none"/>
    </w:rPr>
  </w:style>
  <w:style w:type="character" w:customStyle="1" w:styleId="8">
    <w:name w:val="item-name"/>
    <w:basedOn w:val="4"/>
    <w:qFormat/>
    <w:uiPriority w:val="0"/>
  </w:style>
  <w:style w:type="character" w:customStyle="1" w:styleId="9">
    <w:name w:val="item-name1"/>
    <w:basedOn w:val="4"/>
    <w:qFormat/>
    <w:uiPriority w:val="0"/>
  </w:style>
  <w:style w:type="character" w:customStyle="1" w:styleId="10">
    <w:name w:val="sys_normal"/>
    <w:basedOn w:val="4"/>
    <w:qFormat/>
    <w:uiPriority w:val="0"/>
  </w:style>
  <w:style w:type="character" w:customStyle="1" w:styleId="11">
    <w:name w:val="sys_disabled2"/>
    <w:basedOn w:val="4"/>
    <w:qFormat/>
    <w:uiPriority w:val="0"/>
    <w:rPr>
      <w:color w:val="434341"/>
      <w:shd w:val="clear" w:fill="EEEEEE"/>
    </w:rPr>
  </w:style>
  <w:style w:type="character" w:customStyle="1" w:styleId="12">
    <w:name w:val="hover24"/>
    <w:basedOn w:val="4"/>
    <w:qFormat/>
    <w:uiPriority w:val="0"/>
    <w:rPr>
      <w:color w:val="FFFFFF"/>
      <w:u w:val="none"/>
      <w:shd w:val="clear" w:fill="007CA7"/>
    </w:rPr>
  </w:style>
  <w:style w:type="character" w:customStyle="1" w:styleId="13">
    <w:name w:val="sys_required"/>
    <w:basedOn w:val="4"/>
    <w:uiPriority w:val="0"/>
  </w:style>
  <w:style w:type="character" w:customStyle="1" w:styleId="14">
    <w:name w:val="last-child"/>
    <w:basedOn w:val="4"/>
    <w:qFormat/>
    <w:uiPriority w:val="0"/>
  </w:style>
  <w:style w:type="character" w:customStyle="1" w:styleId="15">
    <w:name w:val="checkbox3"/>
    <w:basedOn w:val="4"/>
    <w:qFormat/>
    <w:uiPriority w:val="0"/>
  </w:style>
  <w:style w:type="character" w:customStyle="1" w:styleId="16">
    <w:name w:val="sys_grey"/>
    <w:basedOn w:val="4"/>
    <w:qFormat/>
    <w:uiPriority w:val="0"/>
  </w:style>
  <w:style w:type="character" w:customStyle="1" w:styleId="17">
    <w:name w:val="sys_grey1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hover25"/>
    <w:basedOn w:val="4"/>
    <w:qFormat/>
    <w:uiPriority w:val="0"/>
    <w:rPr>
      <w:color w:val="FFFFFF"/>
      <w:u w:val="none"/>
      <w:shd w:val="clear" w:fill="007CA7"/>
    </w:rPr>
  </w:style>
  <w:style w:type="character" w:customStyle="1" w:styleId="21">
    <w:name w:val="checkbox1"/>
    <w:basedOn w:val="4"/>
    <w:qFormat/>
    <w:uiPriority w:val="0"/>
    <w:rPr>
      <w:b/>
      <w:color w:val="FFFFFF"/>
      <w:u w:val="none"/>
      <w:shd w:val="clear" w:fill="007CA7"/>
    </w:rPr>
  </w:style>
  <w:style w:type="character" w:customStyle="1" w:styleId="22">
    <w:name w:val="sys_disabled"/>
    <w:basedOn w:val="4"/>
    <w:qFormat/>
    <w:uiPriority w:val="0"/>
    <w:rPr>
      <w:color w:val="434341"/>
      <w:shd w:val="clear" w:fill="EEEEEE"/>
    </w:rPr>
  </w:style>
  <w:style w:type="character" w:customStyle="1" w:styleId="23">
    <w:name w:val="sys_normal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2020-10-15T07:09:00Z</dcterms:created>
  <dc:creator>向勇</dc:creator>
  <cp:lastModifiedBy>魏静静</cp:lastModifiedBy>
  <dcterms:modified xsi:type="dcterms:W3CDTF">2023-09-25T07:22:16Z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KSOSaveFontToCloudKey">
    <vt:lpwstr>1177043065_btnclosed</vt:lpwstr>
  </property>
  <property fmtid="{D5CDD505-2E9C-101B-9397-08002B2CF9AE}" pid="4" name="ICV">
    <vt:lpwstr>79473DDEE4364F9CABB8551FAD0E05FA</vt:lpwstr>
  </property>
</Properties>
</file>